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44F67" w14:textId="7F6AA683" w:rsidR="00097FE2" w:rsidRDefault="00097FE2" w:rsidP="00AF681F">
      <w:pPr>
        <w:pStyle w:val="Heading1"/>
        <w:jc w:val="center"/>
      </w:pPr>
      <w:bookmarkStart w:id="0" w:name="strategic-growth-readiness-map"/>
      <w:r>
        <w:rPr>
          <w:noProof/>
        </w:rPr>
        <w:drawing>
          <wp:inline distT="0" distB="0" distL="0" distR="0" wp14:anchorId="3982DC63" wp14:editId="4129E257">
            <wp:extent cx="2450592" cy="850392"/>
            <wp:effectExtent l="0" t="0" r="6985" b="6985"/>
            <wp:docPr id="9919909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990966" name="Picture 99199096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C6544" w14:textId="77777777" w:rsidR="00097FE2" w:rsidRPr="00097FE2" w:rsidRDefault="00097FE2" w:rsidP="00400972">
      <w:pPr>
        <w:pStyle w:val="Heading1"/>
        <w:spacing w:before="0" w:after="0"/>
        <w:jc w:val="center"/>
        <w:rPr>
          <w:rFonts w:ascii="Calibri" w:hAnsi="Calibri" w:cs="Calibri"/>
          <w:b/>
          <w:bCs/>
          <w:sz w:val="28"/>
          <w:szCs w:val="28"/>
        </w:rPr>
      </w:pPr>
      <w:r w:rsidRPr="00097FE2">
        <w:rPr>
          <w:rFonts w:ascii="Calibri" w:hAnsi="Calibri" w:cs="Calibri"/>
          <w:b/>
          <w:bCs/>
          <w:sz w:val="28"/>
          <w:szCs w:val="28"/>
        </w:rPr>
        <w:t>Webinar:  Growth Planning:  Expanding Impact, Not Just Enrollment</w:t>
      </w:r>
    </w:p>
    <w:p w14:paraId="39A43401" w14:textId="5A15F2B1" w:rsidR="00FC5039" w:rsidRDefault="00AF681F" w:rsidP="00400972">
      <w:pPr>
        <w:pStyle w:val="Heading1"/>
        <w:spacing w:before="0" w:after="0"/>
        <w:jc w:val="center"/>
        <w:rPr>
          <w:rFonts w:ascii="Calibri" w:hAnsi="Calibri" w:cs="Calibri"/>
          <w:b/>
          <w:bCs/>
          <w:sz w:val="28"/>
          <w:szCs w:val="28"/>
        </w:rPr>
      </w:pPr>
      <w:r w:rsidRPr="00097FE2">
        <w:rPr>
          <w:rFonts w:ascii="Calibri" w:hAnsi="Calibri" w:cs="Calibri"/>
          <w:b/>
          <w:bCs/>
          <w:sz w:val="28"/>
          <w:szCs w:val="28"/>
        </w:rPr>
        <w:t>Strategic Growth Readiness Map</w:t>
      </w:r>
    </w:p>
    <w:p w14:paraId="5B90E9ED" w14:textId="77777777" w:rsidR="00400972" w:rsidRPr="00400972" w:rsidRDefault="00400972" w:rsidP="00400972">
      <w:pPr>
        <w:pStyle w:val="BodyText"/>
        <w:spacing w:before="0" w:after="0"/>
      </w:pPr>
    </w:p>
    <w:p w14:paraId="6B6BEA6B" w14:textId="77777777" w:rsidR="00FC5039" w:rsidRPr="00097FE2" w:rsidRDefault="00AF681F" w:rsidP="006B7277">
      <w:pPr>
        <w:pStyle w:val="Heading3"/>
        <w:spacing w:before="0" w:after="0"/>
        <w:rPr>
          <w:rFonts w:ascii="Calibri" w:hAnsi="Calibri" w:cs="Calibri"/>
          <w:b/>
          <w:bCs/>
          <w:i/>
          <w:iCs/>
          <w:sz w:val="24"/>
          <w:szCs w:val="24"/>
        </w:rPr>
      </w:pPr>
      <w:bookmarkStart w:id="1" w:name="expanding-impact-with-intention"/>
      <w:r w:rsidRPr="00097FE2">
        <w:rPr>
          <w:rFonts w:ascii="Calibri" w:hAnsi="Calibri" w:cs="Calibri"/>
          <w:b/>
          <w:bCs/>
          <w:i/>
          <w:iCs/>
          <w:sz w:val="24"/>
          <w:szCs w:val="24"/>
        </w:rPr>
        <w:t>Expanding Impact with Intention</w:t>
      </w:r>
    </w:p>
    <w:p w14:paraId="260D05D5" w14:textId="77777777" w:rsidR="00FC5039" w:rsidRPr="00097FE2" w:rsidRDefault="00AF681F" w:rsidP="006B7277">
      <w:pPr>
        <w:pStyle w:val="BlockText"/>
        <w:spacing w:before="0" w:after="0"/>
        <w:ind w:left="0"/>
        <w:rPr>
          <w:rFonts w:ascii="Calibri" w:hAnsi="Calibri" w:cs="Calibri"/>
        </w:rPr>
      </w:pPr>
      <w:r w:rsidRPr="00097FE2">
        <w:rPr>
          <w:rFonts w:ascii="Calibri" w:hAnsi="Calibri" w:cs="Calibri"/>
          <w:b/>
          <w:bCs/>
        </w:rPr>
        <w:t>Purpose:</w:t>
      </w:r>
      <w:r w:rsidRPr="00097FE2">
        <w:rPr>
          <w:rFonts w:ascii="Calibri" w:hAnsi="Calibri" w:cs="Calibri"/>
        </w:rPr>
        <w:t xml:space="preserve"> This tool is designed to help governing boards assess </w:t>
      </w:r>
      <w:r w:rsidRPr="00097FE2">
        <w:rPr>
          <w:rFonts w:ascii="Calibri" w:hAnsi="Calibri" w:cs="Calibri"/>
          <w:i/>
          <w:iCs/>
        </w:rPr>
        <w:t>readiness</w:t>
      </w:r>
      <w:r w:rsidRPr="00097FE2">
        <w:rPr>
          <w:rFonts w:ascii="Calibri" w:hAnsi="Calibri" w:cs="Calibri"/>
        </w:rPr>
        <w:t xml:space="preserve"> for different types of growth and to support thoughtful strategic planning that protects quality, culture, and mission.</w:t>
      </w:r>
    </w:p>
    <w:p w14:paraId="5CA572B3" w14:textId="77777777" w:rsidR="00FC5039" w:rsidRPr="00097FE2" w:rsidRDefault="00F95464" w:rsidP="006B7277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pict w14:anchorId="14E21DD6">
          <v:rect id="_x0000_i1025" style="width:0;height:1.5pt" o:hralign="center" o:hrstd="t" o:hr="t"/>
        </w:pict>
      </w:r>
    </w:p>
    <w:p w14:paraId="522E3151" w14:textId="77777777" w:rsidR="00FC5039" w:rsidRPr="006B7277" w:rsidRDefault="00AF681F" w:rsidP="00097FE2">
      <w:pPr>
        <w:pStyle w:val="Heading2"/>
        <w:spacing w:before="0" w:after="100" w:afterAutospacing="1"/>
        <w:rPr>
          <w:rFonts w:ascii="Calibri" w:hAnsi="Calibri" w:cs="Calibri"/>
          <w:b/>
          <w:bCs/>
          <w:i/>
          <w:iCs/>
          <w:sz w:val="24"/>
          <w:szCs w:val="24"/>
        </w:rPr>
      </w:pPr>
      <w:bookmarkStart w:id="2" w:name="types-of-growth"/>
      <w:bookmarkEnd w:id="1"/>
      <w:r w:rsidRPr="006B7277">
        <w:rPr>
          <w:rFonts w:ascii="Calibri" w:hAnsi="Calibri" w:cs="Calibri"/>
          <w:b/>
          <w:bCs/>
          <w:i/>
          <w:iCs/>
          <w:sz w:val="24"/>
          <w:szCs w:val="24"/>
        </w:rPr>
        <w:t>Types of Growth</w:t>
      </w:r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3116"/>
        <w:gridCol w:w="3117"/>
        <w:gridCol w:w="3117"/>
      </w:tblGrid>
      <w:tr w:rsidR="00FC5039" w:rsidRPr="00097FE2" w14:paraId="01B14533" w14:textId="77777777" w:rsidTr="006B72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640" w:type="dxa"/>
            <w:tcBorders>
              <w:bottom w:val="none" w:sz="0" w:space="0" w:color="auto"/>
            </w:tcBorders>
            <w:shd w:val="clear" w:color="auto" w:fill="BFBFBF" w:themeFill="background1" w:themeFillShade="BF"/>
          </w:tcPr>
          <w:p w14:paraId="5126C6AB" w14:textId="77777777" w:rsidR="00FC5039" w:rsidRPr="00097FE2" w:rsidRDefault="00AF681F" w:rsidP="006B7277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  <w:b/>
                <w:bCs/>
              </w:rPr>
              <w:t>Program Growth</w:t>
            </w:r>
          </w:p>
        </w:tc>
        <w:tc>
          <w:tcPr>
            <w:tcW w:w="2640" w:type="dxa"/>
            <w:tcBorders>
              <w:bottom w:val="none" w:sz="0" w:space="0" w:color="auto"/>
            </w:tcBorders>
            <w:shd w:val="clear" w:color="auto" w:fill="BFBFBF" w:themeFill="background1" w:themeFillShade="BF"/>
          </w:tcPr>
          <w:p w14:paraId="57A06A95" w14:textId="77777777" w:rsidR="00FC5039" w:rsidRPr="00097FE2" w:rsidRDefault="00AF681F" w:rsidP="006B7277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  <w:b/>
                <w:bCs/>
              </w:rPr>
              <w:t>Facility Growth</w:t>
            </w:r>
          </w:p>
        </w:tc>
        <w:tc>
          <w:tcPr>
            <w:tcW w:w="2640" w:type="dxa"/>
            <w:tcBorders>
              <w:bottom w:val="none" w:sz="0" w:space="0" w:color="auto"/>
            </w:tcBorders>
            <w:shd w:val="clear" w:color="auto" w:fill="BFBFBF" w:themeFill="background1" w:themeFillShade="BF"/>
          </w:tcPr>
          <w:p w14:paraId="4025B583" w14:textId="77777777" w:rsidR="00FC5039" w:rsidRPr="00097FE2" w:rsidRDefault="00AF681F" w:rsidP="006B7277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  <w:b/>
                <w:bCs/>
              </w:rPr>
              <w:t>Enrollment Growth</w:t>
            </w:r>
          </w:p>
        </w:tc>
      </w:tr>
      <w:tr w:rsidR="00FC5039" w:rsidRPr="00097FE2" w14:paraId="710B70FF" w14:textId="77777777" w:rsidTr="006B7277">
        <w:tc>
          <w:tcPr>
            <w:tcW w:w="2640" w:type="dxa"/>
          </w:tcPr>
          <w:p w14:paraId="08B86A81" w14:textId="77777777" w:rsidR="00FC5039" w:rsidRPr="00097FE2" w:rsidRDefault="00AF681F" w:rsidP="00A6555A">
            <w:pPr>
              <w:pStyle w:val="Compact"/>
              <w:spacing w:before="0" w:after="0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</w:rPr>
              <w:t>New grade levels, academic programs, pathways, instructional models, or delivery formats</w:t>
            </w:r>
          </w:p>
        </w:tc>
        <w:tc>
          <w:tcPr>
            <w:tcW w:w="2640" w:type="dxa"/>
          </w:tcPr>
          <w:p w14:paraId="25DA9A74" w14:textId="77777777" w:rsidR="00FC5039" w:rsidRPr="00097FE2" w:rsidRDefault="00AF681F" w:rsidP="00A6555A">
            <w:pPr>
              <w:pStyle w:val="Compact"/>
              <w:spacing w:before="0" w:after="0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</w:rPr>
              <w:t>New building, expansion, renovation, relocation, or shared space</w:t>
            </w:r>
          </w:p>
        </w:tc>
        <w:tc>
          <w:tcPr>
            <w:tcW w:w="2640" w:type="dxa"/>
          </w:tcPr>
          <w:p w14:paraId="4E641877" w14:textId="77777777" w:rsidR="00FC5039" w:rsidRPr="00097FE2" w:rsidRDefault="00AF681F" w:rsidP="00A6555A">
            <w:pPr>
              <w:pStyle w:val="Compact"/>
              <w:spacing w:before="0" w:after="0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</w:rPr>
              <w:t>Increased student count, additional sections, new feeder patterns or geographic reach</w:t>
            </w:r>
          </w:p>
        </w:tc>
      </w:tr>
    </w:tbl>
    <w:p w14:paraId="5EFACE09" w14:textId="77777777" w:rsidR="00FC5039" w:rsidRPr="00097FE2" w:rsidRDefault="00F95464" w:rsidP="00097FE2">
      <w:pPr>
        <w:spacing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pict w14:anchorId="419F60F3">
          <v:rect id="_x0000_i1026" style="width:0;height:1.5pt" o:hralign="center" o:hrstd="t" o:hr="t"/>
        </w:pict>
      </w:r>
    </w:p>
    <w:p w14:paraId="56BF2295" w14:textId="77777777" w:rsidR="00FC5039" w:rsidRPr="006B7277" w:rsidRDefault="00AF681F" w:rsidP="006B7277">
      <w:pPr>
        <w:pStyle w:val="Heading2"/>
        <w:spacing w:before="0" w:after="0"/>
        <w:rPr>
          <w:rFonts w:ascii="Calibri" w:hAnsi="Calibri" w:cs="Calibri"/>
          <w:b/>
          <w:bCs/>
          <w:i/>
          <w:iCs/>
          <w:sz w:val="24"/>
          <w:szCs w:val="24"/>
        </w:rPr>
      </w:pPr>
      <w:bookmarkStart w:id="3" w:name="readiness-signals"/>
      <w:bookmarkEnd w:id="2"/>
      <w:r w:rsidRPr="006B7277">
        <w:rPr>
          <w:rFonts w:ascii="Calibri" w:hAnsi="Calibri" w:cs="Calibri"/>
          <w:b/>
          <w:bCs/>
          <w:i/>
          <w:iCs/>
          <w:sz w:val="24"/>
          <w:szCs w:val="24"/>
        </w:rPr>
        <w:t>Readiness Signals</w:t>
      </w:r>
    </w:p>
    <w:p w14:paraId="7D9E9CDF" w14:textId="77777777" w:rsidR="00FC5039" w:rsidRPr="00097FE2" w:rsidRDefault="00AF681F" w:rsidP="006B7277">
      <w:pPr>
        <w:pStyle w:val="FirstParagraph"/>
        <w:spacing w:before="0" w:after="0"/>
        <w:rPr>
          <w:rFonts w:ascii="Calibri" w:hAnsi="Calibri" w:cs="Calibri"/>
        </w:rPr>
      </w:pPr>
      <w:r w:rsidRPr="00097FE2">
        <w:rPr>
          <w:rFonts w:ascii="Calibri" w:hAnsi="Calibri" w:cs="Calibri"/>
          <w:i/>
          <w:iCs/>
        </w:rPr>
        <w:t>For each signal, reflect on the school’s current condition.</w:t>
      </w:r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1871"/>
        <w:gridCol w:w="2493"/>
        <w:gridCol w:w="2493"/>
        <w:gridCol w:w="2493"/>
      </w:tblGrid>
      <w:tr w:rsidR="00FC5039" w:rsidRPr="00097FE2" w14:paraId="624930C5" w14:textId="77777777" w:rsidTr="006B72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584" w:type="dxa"/>
            <w:tcBorders>
              <w:bottom w:val="none" w:sz="0" w:space="0" w:color="auto"/>
            </w:tcBorders>
            <w:shd w:val="clear" w:color="auto" w:fill="BFBFBF" w:themeFill="background1" w:themeFillShade="BF"/>
          </w:tcPr>
          <w:p w14:paraId="48F502AF" w14:textId="77777777" w:rsidR="00FC5039" w:rsidRPr="00097FE2" w:rsidRDefault="00AF681F" w:rsidP="006B7277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  <w:b/>
                <w:bCs/>
              </w:rPr>
              <w:t>Readiness Signal</w:t>
            </w:r>
          </w:p>
        </w:tc>
        <w:tc>
          <w:tcPr>
            <w:tcW w:w="2112" w:type="dxa"/>
            <w:tcBorders>
              <w:bottom w:val="none" w:sz="0" w:space="0" w:color="auto"/>
            </w:tcBorders>
            <w:shd w:val="clear" w:color="auto" w:fill="BFBFBF" w:themeFill="background1" w:themeFillShade="BF"/>
          </w:tcPr>
          <w:p w14:paraId="7A74CE29" w14:textId="77777777" w:rsidR="00FC5039" w:rsidRPr="00097FE2" w:rsidRDefault="00AF681F" w:rsidP="006B7277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  <w:b/>
                <w:bCs/>
              </w:rPr>
              <w:t>Program Growth</w:t>
            </w:r>
          </w:p>
        </w:tc>
        <w:tc>
          <w:tcPr>
            <w:tcW w:w="2112" w:type="dxa"/>
            <w:tcBorders>
              <w:bottom w:val="none" w:sz="0" w:space="0" w:color="auto"/>
            </w:tcBorders>
            <w:shd w:val="clear" w:color="auto" w:fill="BFBFBF" w:themeFill="background1" w:themeFillShade="BF"/>
          </w:tcPr>
          <w:p w14:paraId="6E15EBE2" w14:textId="77777777" w:rsidR="00FC5039" w:rsidRPr="00097FE2" w:rsidRDefault="00AF681F" w:rsidP="006B7277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  <w:b/>
                <w:bCs/>
              </w:rPr>
              <w:t>Facility Growth</w:t>
            </w:r>
          </w:p>
        </w:tc>
        <w:tc>
          <w:tcPr>
            <w:tcW w:w="2112" w:type="dxa"/>
            <w:tcBorders>
              <w:bottom w:val="none" w:sz="0" w:space="0" w:color="auto"/>
            </w:tcBorders>
            <w:shd w:val="clear" w:color="auto" w:fill="BFBFBF" w:themeFill="background1" w:themeFillShade="BF"/>
          </w:tcPr>
          <w:p w14:paraId="5A073A01" w14:textId="77777777" w:rsidR="00FC5039" w:rsidRPr="00097FE2" w:rsidRDefault="00AF681F" w:rsidP="006B7277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  <w:b/>
                <w:bCs/>
              </w:rPr>
              <w:t>Enrollment Growth</w:t>
            </w:r>
          </w:p>
        </w:tc>
      </w:tr>
      <w:tr w:rsidR="00FC5039" w:rsidRPr="00097FE2" w14:paraId="7AB2A0F8" w14:textId="77777777" w:rsidTr="006B7277">
        <w:tc>
          <w:tcPr>
            <w:tcW w:w="1584" w:type="dxa"/>
          </w:tcPr>
          <w:p w14:paraId="2CE0F1CD" w14:textId="77777777" w:rsidR="00FC5039" w:rsidRPr="00097FE2" w:rsidRDefault="00AF681F" w:rsidP="00A6555A">
            <w:pPr>
              <w:pStyle w:val="Compact"/>
              <w:spacing w:before="0" w:after="0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</w:rPr>
              <w:t>Academic model is stable and producing desired student outcomes</w:t>
            </w:r>
          </w:p>
        </w:tc>
        <w:tc>
          <w:tcPr>
            <w:tcW w:w="2112" w:type="dxa"/>
          </w:tcPr>
          <w:p w14:paraId="4CA8FF18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2112" w:type="dxa"/>
          </w:tcPr>
          <w:p w14:paraId="0A4F0959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2112" w:type="dxa"/>
          </w:tcPr>
          <w:p w14:paraId="152655B4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</w:tr>
      <w:tr w:rsidR="00FC5039" w:rsidRPr="00097FE2" w14:paraId="00E548E1" w14:textId="77777777" w:rsidTr="006B7277">
        <w:tc>
          <w:tcPr>
            <w:tcW w:w="1584" w:type="dxa"/>
          </w:tcPr>
          <w:p w14:paraId="31D64E58" w14:textId="77777777" w:rsidR="00FC5039" w:rsidRPr="00097FE2" w:rsidRDefault="00AF681F" w:rsidP="00097FE2">
            <w:pPr>
              <w:pStyle w:val="Compact"/>
              <w:spacing w:before="0" w:after="100" w:afterAutospacing="1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</w:rPr>
              <w:t>Leadership team has capacity beyond day</w:t>
            </w:r>
            <w:r w:rsidRPr="00097FE2">
              <w:rPr>
                <w:rFonts w:ascii="Cambria Math" w:hAnsi="Cambria Math" w:cs="Cambria Math"/>
              </w:rPr>
              <w:t>‑</w:t>
            </w:r>
            <w:r w:rsidRPr="00097FE2">
              <w:rPr>
                <w:rFonts w:ascii="Calibri" w:hAnsi="Calibri" w:cs="Calibri"/>
              </w:rPr>
              <w:t>to</w:t>
            </w:r>
            <w:r w:rsidRPr="00097FE2">
              <w:rPr>
                <w:rFonts w:ascii="Cambria Math" w:hAnsi="Cambria Math" w:cs="Cambria Math"/>
              </w:rPr>
              <w:t>‑</w:t>
            </w:r>
            <w:r w:rsidRPr="00097FE2">
              <w:rPr>
                <w:rFonts w:ascii="Calibri" w:hAnsi="Calibri" w:cs="Calibri"/>
              </w:rPr>
              <w:t>day operations</w:t>
            </w:r>
          </w:p>
        </w:tc>
        <w:tc>
          <w:tcPr>
            <w:tcW w:w="2112" w:type="dxa"/>
          </w:tcPr>
          <w:p w14:paraId="05885060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2112" w:type="dxa"/>
          </w:tcPr>
          <w:p w14:paraId="59803483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2112" w:type="dxa"/>
          </w:tcPr>
          <w:p w14:paraId="266B63ED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</w:tr>
      <w:tr w:rsidR="00FC5039" w:rsidRPr="00097FE2" w14:paraId="1537766C" w14:textId="77777777" w:rsidTr="006B7277">
        <w:tc>
          <w:tcPr>
            <w:tcW w:w="1584" w:type="dxa"/>
          </w:tcPr>
          <w:p w14:paraId="772981AE" w14:textId="77777777" w:rsidR="00FC5039" w:rsidRPr="00097FE2" w:rsidRDefault="00AF681F" w:rsidP="00097FE2">
            <w:pPr>
              <w:pStyle w:val="Compact"/>
              <w:spacing w:before="0" w:after="100" w:afterAutospacing="1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</w:rPr>
              <w:t>Financial position is resilient (cash flow, reserves, forecasting)</w:t>
            </w:r>
          </w:p>
        </w:tc>
        <w:tc>
          <w:tcPr>
            <w:tcW w:w="2112" w:type="dxa"/>
          </w:tcPr>
          <w:p w14:paraId="0E60D4EB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2112" w:type="dxa"/>
          </w:tcPr>
          <w:p w14:paraId="33D4FF2F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2112" w:type="dxa"/>
          </w:tcPr>
          <w:p w14:paraId="0D4E7050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</w:tr>
      <w:tr w:rsidR="00FC5039" w:rsidRPr="00097FE2" w14:paraId="68F5FD71" w14:textId="77777777" w:rsidTr="006B7277">
        <w:tc>
          <w:tcPr>
            <w:tcW w:w="1584" w:type="dxa"/>
          </w:tcPr>
          <w:p w14:paraId="0BC6BA0C" w14:textId="77777777" w:rsidR="00FC5039" w:rsidRPr="00097FE2" w:rsidRDefault="00AF681F" w:rsidP="00097FE2">
            <w:pPr>
              <w:pStyle w:val="Compact"/>
              <w:spacing w:before="0" w:after="100" w:afterAutospacing="1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</w:rPr>
              <w:t xml:space="preserve">School culture and climate are </w:t>
            </w:r>
            <w:r w:rsidRPr="00097FE2">
              <w:rPr>
                <w:rFonts w:ascii="Calibri" w:hAnsi="Calibri" w:cs="Calibri"/>
              </w:rPr>
              <w:lastRenderedPageBreak/>
              <w:t>healthy and clearly defined</w:t>
            </w:r>
          </w:p>
        </w:tc>
        <w:tc>
          <w:tcPr>
            <w:tcW w:w="2112" w:type="dxa"/>
          </w:tcPr>
          <w:p w14:paraId="61DC034C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lastRenderedPageBreak/>
              <w:t>⬜</w:t>
            </w:r>
          </w:p>
        </w:tc>
        <w:tc>
          <w:tcPr>
            <w:tcW w:w="2112" w:type="dxa"/>
          </w:tcPr>
          <w:p w14:paraId="50776981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2112" w:type="dxa"/>
          </w:tcPr>
          <w:p w14:paraId="10174D1D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</w:tr>
      <w:tr w:rsidR="00FC5039" w:rsidRPr="00097FE2" w14:paraId="4F7E673B" w14:textId="77777777" w:rsidTr="006B7277">
        <w:tc>
          <w:tcPr>
            <w:tcW w:w="1584" w:type="dxa"/>
          </w:tcPr>
          <w:p w14:paraId="4008C2D3" w14:textId="77777777" w:rsidR="00FC5039" w:rsidRPr="00097FE2" w:rsidRDefault="00AF681F" w:rsidP="00097FE2">
            <w:pPr>
              <w:pStyle w:val="Compact"/>
              <w:spacing w:before="0" w:after="100" w:afterAutospacing="1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</w:rPr>
              <w:t>Community demand is documented and sustainable</w:t>
            </w:r>
          </w:p>
        </w:tc>
        <w:tc>
          <w:tcPr>
            <w:tcW w:w="2112" w:type="dxa"/>
          </w:tcPr>
          <w:p w14:paraId="2B26EC46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2112" w:type="dxa"/>
          </w:tcPr>
          <w:p w14:paraId="0F43082F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2112" w:type="dxa"/>
          </w:tcPr>
          <w:p w14:paraId="199DA2E2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</w:tr>
      <w:tr w:rsidR="00FC5039" w:rsidRPr="00097FE2" w14:paraId="17D31473" w14:textId="77777777" w:rsidTr="006B7277">
        <w:tc>
          <w:tcPr>
            <w:tcW w:w="1584" w:type="dxa"/>
          </w:tcPr>
          <w:p w14:paraId="3F4B25F0" w14:textId="35174ADC" w:rsidR="00FC5039" w:rsidRPr="00097FE2" w:rsidRDefault="00AF681F" w:rsidP="00A6555A">
            <w:pPr>
              <w:pStyle w:val="Compact"/>
              <w:spacing w:before="0" w:after="100" w:afterAutospacing="1"/>
              <w:rPr>
                <w:rFonts w:ascii="Calibri" w:hAnsi="Calibri" w:cs="Calibri"/>
              </w:rPr>
            </w:pPr>
            <w:r w:rsidRPr="00097FE2">
              <w:rPr>
                <w:rFonts w:ascii="Calibri" w:hAnsi="Calibri" w:cs="Calibri"/>
              </w:rPr>
              <w:t>Governance systems support strategic oversight (not micro</w:t>
            </w:r>
            <w:r w:rsidR="00A6555A">
              <w:rPr>
                <w:rFonts w:ascii="Calibri" w:hAnsi="Calibri" w:cs="Calibri"/>
              </w:rPr>
              <w:t>-</w:t>
            </w:r>
            <w:r w:rsidRPr="00097FE2">
              <w:rPr>
                <w:rFonts w:ascii="Calibri" w:hAnsi="Calibri" w:cs="Calibri"/>
              </w:rPr>
              <w:t>management)</w:t>
            </w:r>
          </w:p>
        </w:tc>
        <w:tc>
          <w:tcPr>
            <w:tcW w:w="2112" w:type="dxa"/>
          </w:tcPr>
          <w:p w14:paraId="40FB4A6B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2112" w:type="dxa"/>
          </w:tcPr>
          <w:p w14:paraId="0362C9BC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  <w:tc>
          <w:tcPr>
            <w:tcW w:w="2112" w:type="dxa"/>
          </w:tcPr>
          <w:p w14:paraId="7FE1E31F" w14:textId="77777777" w:rsidR="00FC5039" w:rsidRPr="00097FE2" w:rsidRDefault="00AF681F" w:rsidP="00097FE2">
            <w:pPr>
              <w:pStyle w:val="Compact"/>
              <w:spacing w:before="0" w:after="100" w:afterAutospacing="1"/>
              <w:jc w:val="center"/>
              <w:rPr>
                <w:rFonts w:ascii="Calibri" w:hAnsi="Calibri" w:cs="Calibri"/>
              </w:rPr>
            </w:pPr>
            <w:r w:rsidRPr="00097FE2">
              <w:rPr>
                <w:rFonts w:ascii="Segoe UI Emoji" w:hAnsi="Segoe UI Emoji" w:cs="Segoe UI Emoji"/>
              </w:rPr>
              <w:t>⬜</w:t>
            </w:r>
          </w:p>
        </w:tc>
      </w:tr>
    </w:tbl>
    <w:p w14:paraId="17C440BE" w14:textId="77777777" w:rsidR="00FC5039" w:rsidRPr="00097FE2" w:rsidRDefault="00AF681F" w:rsidP="00097FE2">
      <w:pPr>
        <w:pStyle w:val="BodyText"/>
        <w:spacing w:before="0" w:after="100" w:afterAutospacing="1"/>
        <w:rPr>
          <w:rFonts w:ascii="Calibri" w:hAnsi="Calibri" w:cs="Calibri"/>
        </w:rPr>
      </w:pPr>
      <w:r w:rsidRPr="00097FE2">
        <w:rPr>
          <w:rFonts w:ascii="Calibri" w:hAnsi="Calibri" w:cs="Calibri"/>
          <w:b/>
          <w:bCs/>
        </w:rPr>
        <w:t>Legend:</w:t>
      </w:r>
      <w:r w:rsidRPr="00097FE2">
        <w:rPr>
          <w:rFonts w:ascii="Calibri" w:hAnsi="Calibri" w:cs="Calibri"/>
        </w:rPr>
        <w:br/>
      </w:r>
      <w:r w:rsidRPr="00097FE2">
        <w:rPr>
          <w:rFonts w:ascii="Segoe UI Emoji" w:hAnsi="Segoe UI Emoji" w:cs="Segoe UI Emoji"/>
        </w:rPr>
        <w:t>🟢</w:t>
      </w:r>
      <w:r w:rsidRPr="00097FE2">
        <w:rPr>
          <w:rFonts w:ascii="Calibri" w:hAnsi="Calibri" w:cs="Calibri"/>
        </w:rPr>
        <w:t xml:space="preserve"> Strong  </w:t>
      </w:r>
      <w:r w:rsidRPr="00097FE2">
        <w:rPr>
          <w:rFonts w:ascii="Segoe UI Emoji" w:hAnsi="Segoe UI Emoji" w:cs="Segoe UI Emoji"/>
        </w:rPr>
        <w:t>🟡</w:t>
      </w:r>
      <w:r w:rsidRPr="00097FE2">
        <w:rPr>
          <w:rFonts w:ascii="Calibri" w:hAnsi="Calibri" w:cs="Calibri"/>
        </w:rPr>
        <w:t xml:space="preserve"> Developing  </w:t>
      </w:r>
      <w:r w:rsidRPr="00097FE2">
        <w:rPr>
          <w:rFonts w:ascii="Segoe UI Emoji" w:hAnsi="Segoe UI Emoji" w:cs="Segoe UI Emoji"/>
        </w:rPr>
        <w:t>🔴</w:t>
      </w:r>
      <w:r w:rsidRPr="00097FE2">
        <w:rPr>
          <w:rFonts w:ascii="Calibri" w:hAnsi="Calibri" w:cs="Calibri"/>
        </w:rPr>
        <w:t xml:space="preserve"> Needs Attention</w:t>
      </w:r>
    </w:p>
    <w:p w14:paraId="5EF47F01" w14:textId="77777777" w:rsidR="00FC5039" w:rsidRPr="00097FE2" w:rsidRDefault="00F95464" w:rsidP="00097FE2">
      <w:pPr>
        <w:spacing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pict w14:anchorId="1A572BB0">
          <v:rect id="_x0000_i1027" style="width:0;height:1.5pt" o:hralign="center" o:hrstd="t" o:hr="t"/>
        </w:pict>
      </w:r>
    </w:p>
    <w:p w14:paraId="64B93C3A" w14:textId="77777777" w:rsidR="00FC5039" w:rsidRPr="006B7277" w:rsidRDefault="00AF681F" w:rsidP="00A6555A">
      <w:pPr>
        <w:pStyle w:val="Heading2"/>
        <w:spacing w:before="0" w:after="0"/>
        <w:rPr>
          <w:rFonts w:ascii="Calibri" w:hAnsi="Calibri" w:cs="Calibri"/>
          <w:b/>
          <w:bCs/>
          <w:i/>
          <w:iCs/>
          <w:sz w:val="24"/>
          <w:szCs w:val="24"/>
        </w:rPr>
      </w:pPr>
      <w:bookmarkStart w:id="4" w:name="strategic-reflection"/>
      <w:bookmarkEnd w:id="3"/>
      <w:r w:rsidRPr="006B7277">
        <w:rPr>
          <w:rFonts w:ascii="Calibri" w:hAnsi="Calibri" w:cs="Calibri"/>
          <w:b/>
          <w:bCs/>
          <w:i/>
          <w:iCs/>
          <w:sz w:val="24"/>
          <w:szCs w:val="24"/>
        </w:rPr>
        <w:t>Strategic Reflection</w:t>
      </w:r>
    </w:p>
    <w:p w14:paraId="3148685E" w14:textId="77777777" w:rsidR="00FC5039" w:rsidRPr="006B7277" w:rsidRDefault="00AF681F" w:rsidP="00A6555A">
      <w:pPr>
        <w:pStyle w:val="FirstParagraph"/>
        <w:spacing w:before="0" w:after="0"/>
        <w:rPr>
          <w:rFonts w:ascii="Calibri" w:hAnsi="Calibri" w:cs="Calibri"/>
          <w:i/>
          <w:iCs/>
        </w:rPr>
      </w:pPr>
      <w:r w:rsidRPr="006B7277">
        <w:rPr>
          <w:rFonts w:ascii="Calibri" w:hAnsi="Calibri" w:cs="Calibri"/>
          <w:b/>
          <w:bCs/>
          <w:i/>
          <w:iCs/>
        </w:rPr>
        <w:t>Before we grow, what must be protected at all costs?</w:t>
      </w:r>
      <w:r w:rsidRPr="006B7277">
        <w:rPr>
          <w:rFonts w:ascii="Calibri" w:hAnsi="Calibri" w:cs="Calibri"/>
          <w:i/>
          <w:iCs/>
        </w:rPr>
        <w:br/>
        <w:t>(e.g., academic quality, mission integrity, culture, staff sustainability, financial health)</w:t>
      </w:r>
    </w:p>
    <w:p w14:paraId="41D8BC2F" w14:textId="77777777" w:rsidR="00FC5039" w:rsidRPr="00097FE2" w:rsidRDefault="00F95464" w:rsidP="00097FE2">
      <w:pPr>
        <w:spacing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pict w14:anchorId="1D33B783">
          <v:rect id="_x0000_i1028" style="width:0;height:1.5pt" o:hralign="center" o:hrstd="t" o:hr="t"/>
        </w:pict>
      </w:r>
    </w:p>
    <w:p w14:paraId="32B82F57" w14:textId="77777777" w:rsidR="00FC5039" w:rsidRPr="00097FE2" w:rsidRDefault="00F95464" w:rsidP="00097FE2">
      <w:pPr>
        <w:spacing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pict w14:anchorId="6413D562">
          <v:rect id="_x0000_i1029" style="width:0;height:1.5pt" o:hralign="center" o:hrstd="t" o:hr="t"/>
        </w:pict>
      </w:r>
    </w:p>
    <w:p w14:paraId="5EFCF565" w14:textId="77777777" w:rsidR="00FC5039" w:rsidRPr="00097FE2" w:rsidRDefault="00F95464" w:rsidP="00097FE2">
      <w:pPr>
        <w:spacing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pict w14:anchorId="67EE04AA">
          <v:rect id="_x0000_i1030" style="width:0;height:1.5pt" o:hralign="center" o:hrstd="t" o:hr="t"/>
        </w:pict>
      </w:r>
    </w:p>
    <w:p w14:paraId="295F06E6" w14:textId="77777777" w:rsidR="00FC5039" w:rsidRPr="006B7277" w:rsidRDefault="00AF681F" w:rsidP="00097FE2">
      <w:pPr>
        <w:pStyle w:val="Heading2"/>
        <w:spacing w:before="0" w:after="100" w:afterAutospacing="1"/>
        <w:rPr>
          <w:rFonts w:ascii="Calibri" w:hAnsi="Calibri" w:cs="Calibri"/>
          <w:b/>
          <w:bCs/>
          <w:i/>
          <w:iCs/>
          <w:sz w:val="24"/>
          <w:szCs w:val="24"/>
        </w:rPr>
      </w:pPr>
      <w:bookmarkStart w:id="5" w:name="board-use-guidance"/>
      <w:bookmarkEnd w:id="4"/>
      <w:r w:rsidRPr="006B7277">
        <w:rPr>
          <w:rFonts w:ascii="Calibri" w:hAnsi="Calibri" w:cs="Calibri"/>
          <w:b/>
          <w:bCs/>
          <w:i/>
          <w:iCs/>
          <w:sz w:val="24"/>
          <w:szCs w:val="24"/>
        </w:rPr>
        <w:t>Board Use Guidance</w:t>
      </w:r>
    </w:p>
    <w:p w14:paraId="3D986BEA" w14:textId="77777777" w:rsidR="00FC5039" w:rsidRPr="00097FE2" w:rsidRDefault="00AF681F" w:rsidP="00097FE2">
      <w:pPr>
        <w:pStyle w:val="Compact"/>
        <w:numPr>
          <w:ilvl w:val="0"/>
          <w:numId w:val="2"/>
        </w:numPr>
        <w:spacing w:before="0" w:after="100" w:afterAutospacing="1"/>
        <w:rPr>
          <w:rFonts w:ascii="Calibri" w:hAnsi="Calibri" w:cs="Calibri"/>
        </w:rPr>
      </w:pPr>
      <w:r w:rsidRPr="00097FE2">
        <w:rPr>
          <w:rFonts w:ascii="Calibri" w:hAnsi="Calibri" w:cs="Calibri"/>
        </w:rPr>
        <w:t xml:space="preserve">Growth should be </w:t>
      </w:r>
      <w:r w:rsidRPr="00097FE2">
        <w:rPr>
          <w:rFonts w:ascii="Calibri" w:hAnsi="Calibri" w:cs="Calibri"/>
          <w:b/>
          <w:bCs/>
        </w:rPr>
        <w:t>sequenced</w:t>
      </w:r>
      <w:r w:rsidRPr="00097FE2">
        <w:rPr>
          <w:rFonts w:ascii="Calibri" w:hAnsi="Calibri" w:cs="Calibri"/>
        </w:rPr>
        <w:t>, not simultaneous.</w:t>
      </w:r>
    </w:p>
    <w:p w14:paraId="1B70B8FE" w14:textId="77777777" w:rsidR="00FC5039" w:rsidRPr="00097FE2" w:rsidRDefault="00AF681F" w:rsidP="00097FE2">
      <w:pPr>
        <w:pStyle w:val="Compact"/>
        <w:numPr>
          <w:ilvl w:val="0"/>
          <w:numId w:val="2"/>
        </w:numPr>
        <w:spacing w:before="0" w:after="100" w:afterAutospacing="1"/>
        <w:rPr>
          <w:rFonts w:ascii="Calibri" w:hAnsi="Calibri" w:cs="Calibri"/>
        </w:rPr>
      </w:pPr>
      <w:r w:rsidRPr="00097FE2">
        <w:rPr>
          <w:rFonts w:ascii="Calibri" w:hAnsi="Calibri" w:cs="Calibri"/>
        </w:rPr>
        <w:t xml:space="preserve">A </w:t>
      </w:r>
      <w:r w:rsidRPr="00097FE2">
        <w:rPr>
          <w:rFonts w:ascii="Segoe UI Emoji" w:hAnsi="Segoe UI Emoji" w:cs="Segoe UI Emoji"/>
        </w:rPr>
        <w:t>🟡</w:t>
      </w:r>
      <w:r w:rsidRPr="00097FE2">
        <w:rPr>
          <w:rFonts w:ascii="Calibri" w:hAnsi="Calibri" w:cs="Calibri"/>
        </w:rPr>
        <w:t xml:space="preserve"> or </w:t>
      </w:r>
      <w:r w:rsidRPr="00097FE2">
        <w:rPr>
          <w:rFonts w:ascii="Segoe UI Emoji" w:hAnsi="Segoe UI Emoji" w:cs="Segoe UI Emoji"/>
        </w:rPr>
        <w:t>🔴</w:t>
      </w:r>
      <w:r w:rsidRPr="00097FE2">
        <w:rPr>
          <w:rFonts w:ascii="Calibri" w:hAnsi="Calibri" w:cs="Calibri"/>
        </w:rPr>
        <w:t xml:space="preserve"> signal does not mean “no growth,” but it </w:t>
      </w:r>
      <w:r w:rsidRPr="00097FE2">
        <w:rPr>
          <w:rFonts w:ascii="Calibri" w:hAnsi="Calibri" w:cs="Calibri"/>
          <w:i/>
          <w:iCs/>
        </w:rPr>
        <w:t>may</w:t>
      </w:r>
      <w:r w:rsidRPr="00097FE2">
        <w:rPr>
          <w:rFonts w:ascii="Calibri" w:hAnsi="Calibri" w:cs="Calibri"/>
        </w:rPr>
        <w:t xml:space="preserve"> signal a need to pause, prepare, or narrow focus.</w:t>
      </w:r>
    </w:p>
    <w:p w14:paraId="4E75989A" w14:textId="77777777" w:rsidR="00FC5039" w:rsidRPr="00097FE2" w:rsidRDefault="00AF681F" w:rsidP="00097FE2">
      <w:pPr>
        <w:pStyle w:val="Compact"/>
        <w:numPr>
          <w:ilvl w:val="0"/>
          <w:numId w:val="2"/>
        </w:numPr>
        <w:spacing w:before="0" w:after="100" w:afterAutospacing="1"/>
        <w:rPr>
          <w:rFonts w:ascii="Calibri" w:hAnsi="Calibri" w:cs="Calibri"/>
        </w:rPr>
      </w:pPr>
      <w:r w:rsidRPr="00097FE2">
        <w:rPr>
          <w:rFonts w:ascii="Calibri" w:hAnsi="Calibri" w:cs="Calibri"/>
        </w:rPr>
        <w:t>This tool is most effective when revisited annually as part of strategic planning or goal</w:t>
      </w:r>
      <w:r w:rsidRPr="00097FE2">
        <w:rPr>
          <w:rFonts w:ascii="Cambria Math" w:hAnsi="Cambria Math" w:cs="Cambria Math"/>
        </w:rPr>
        <w:t>‑</w:t>
      </w:r>
      <w:r w:rsidRPr="00097FE2">
        <w:rPr>
          <w:rFonts w:ascii="Calibri" w:hAnsi="Calibri" w:cs="Calibri"/>
        </w:rPr>
        <w:t>setting.</w:t>
      </w:r>
    </w:p>
    <w:p w14:paraId="106C2BDB" w14:textId="77777777" w:rsidR="00FC5039" w:rsidRPr="00097FE2" w:rsidRDefault="00F95464" w:rsidP="00097FE2">
      <w:pPr>
        <w:spacing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pict w14:anchorId="3135D576">
          <v:rect id="_x0000_i1031" style="width:0;height:1.5pt" o:hralign="center" o:hrstd="t" o:hr="t"/>
        </w:pict>
      </w:r>
    </w:p>
    <w:p w14:paraId="20DB3738" w14:textId="77777777" w:rsidR="00FC5039" w:rsidRPr="00097FE2" w:rsidRDefault="00AF681F" w:rsidP="00097FE2">
      <w:pPr>
        <w:pStyle w:val="FirstParagraph"/>
        <w:spacing w:before="0" w:after="100" w:afterAutospacing="1"/>
        <w:rPr>
          <w:rFonts w:ascii="Calibri" w:hAnsi="Calibri" w:cs="Calibri"/>
        </w:rPr>
      </w:pPr>
      <w:r w:rsidRPr="00097FE2">
        <w:rPr>
          <w:rFonts w:ascii="Calibri" w:hAnsi="Calibri" w:cs="Calibri"/>
          <w:i/>
          <w:iCs/>
        </w:rPr>
        <w:t>Growth is not simply about getting bigger — it is about expanding impact responsibly, sustainably, and in service of students.</w:t>
      </w:r>
      <w:bookmarkEnd w:id="0"/>
      <w:bookmarkEnd w:id="5"/>
    </w:p>
    <w:sectPr w:rsidR="00FC5039" w:rsidRPr="00097FE2" w:rsidSect="00161E50">
      <w:footerReference w:type="default" r:id="rId8"/>
      <w:footnotePr>
        <w:numRestart w:val="eachSect"/>
      </w:footnotePr>
      <w:pgSz w:w="12240" w:h="15840"/>
      <w:pgMar w:top="1440" w:right="1440" w:bottom="1440" w:left="144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220BD" w14:textId="77777777" w:rsidR="00B27543" w:rsidRDefault="00B27543" w:rsidP="00161E50">
      <w:pPr>
        <w:spacing w:after="0"/>
      </w:pPr>
      <w:r>
        <w:separator/>
      </w:r>
    </w:p>
  </w:endnote>
  <w:endnote w:type="continuationSeparator" w:id="0">
    <w:p w14:paraId="05F0FC1A" w14:textId="77777777" w:rsidR="00B27543" w:rsidRDefault="00B27543" w:rsidP="00161E5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04D86" w14:textId="1DF5F7C9" w:rsidR="00161E50" w:rsidRPr="00161E50" w:rsidRDefault="00161E50">
    <w:pPr>
      <w:pStyle w:val="Footer"/>
      <w:rPr>
        <w:rFonts w:ascii="Calibri" w:hAnsi="Calibri" w:cs="Calibri"/>
        <w:sz w:val="20"/>
        <w:szCs w:val="20"/>
      </w:rPr>
    </w:pPr>
    <w:r w:rsidRPr="00161E50">
      <w:rPr>
        <w:rFonts w:ascii="Calibri" w:hAnsi="Calibri" w:cs="Calibri"/>
        <w:sz w:val="20"/>
        <w:szCs w:val="20"/>
      </w:rPr>
      <w:t>Webinar:  Growth Planning:  Expanding Impact, Not Just Enrollment</w:t>
    </w:r>
  </w:p>
  <w:p w14:paraId="3C9EA3F0" w14:textId="24309CCD" w:rsidR="00161E50" w:rsidRPr="00161E50" w:rsidRDefault="00161E50">
    <w:pPr>
      <w:pStyle w:val="Footer"/>
      <w:rPr>
        <w:rFonts w:ascii="Calibri" w:hAnsi="Calibri" w:cs="Calibri"/>
        <w:sz w:val="20"/>
        <w:szCs w:val="20"/>
      </w:rPr>
    </w:pPr>
    <w:r w:rsidRPr="00161E50">
      <w:rPr>
        <w:rFonts w:ascii="Calibri" w:hAnsi="Calibri" w:cs="Calibri"/>
        <w:sz w:val="20"/>
        <w:szCs w:val="20"/>
      </w:rPr>
      <w:t>Strategic Growth Readiness Map</w:t>
    </w:r>
  </w:p>
  <w:p w14:paraId="1E85A790" w14:textId="421F40CF" w:rsidR="00161E50" w:rsidRPr="00161E50" w:rsidRDefault="00161E50">
    <w:pPr>
      <w:pStyle w:val="Footer"/>
      <w:rPr>
        <w:rFonts w:ascii="Calibri" w:hAnsi="Calibri" w:cs="Calibri"/>
        <w:sz w:val="20"/>
        <w:szCs w:val="20"/>
      </w:rPr>
    </w:pPr>
    <w:r w:rsidRPr="00161E50">
      <w:rPr>
        <w:rFonts w:ascii="Calibri" w:hAnsi="Calibri" w:cs="Calibri"/>
        <w:sz w:val="20"/>
        <w:szCs w:val="20"/>
      </w:rPr>
      <w:t>February 2026</w:t>
    </w:r>
  </w:p>
  <w:p w14:paraId="3BB33F5B" w14:textId="5FB556F8" w:rsidR="00161E50" w:rsidRPr="00161E50" w:rsidRDefault="00161E50">
    <w:pPr>
      <w:pStyle w:val="Footer"/>
      <w:rPr>
        <w:rFonts w:ascii="Calibri" w:hAnsi="Calibri" w:cs="Calibri"/>
        <w:sz w:val="20"/>
        <w:szCs w:val="20"/>
      </w:rPr>
    </w:pPr>
    <w:r w:rsidRPr="00161E50">
      <w:rPr>
        <w:rFonts w:ascii="Calibri" w:hAnsi="Calibri" w:cs="Calibri"/>
        <w:sz w:val="20"/>
        <w:szCs w:val="20"/>
      </w:rPr>
      <w:t xml:space="preserve">Page </w:t>
    </w:r>
    <w:r w:rsidRPr="00161E50">
      <w:rPr>
        <w:rFonts w:ascii="Calibri" w:hAnsi="Calibri" w:cs="Calibri"/>
        <w:sz w:val="20"/>
        <w:szCs w:val="20"/>
      </w:rPr>
      <w:fldChar w:fldCharType="begin"/>
    </w:r>
    <w:r w:rsidRPr="00161E50">
      <w:rPr>
        <w:rFonts w:ascii="Calibri" w:hAnsi="Calibri" w:cs="Calibri"/>
        <w:sz w:val="20"/>
        <w:szCs w:val="20"/>
      </w:rPr>
      <w:instrText xml:space="preserve"> PAGE   \* MERGEFORMAT </w:instrText>
    </w:r>
    <w:r w:rsidRPr="00161E50">
      <w:rPr>
        <w:rFonts w:ascii="Calibri" w:hAnsi="Calibri" w:cs="Calibri"/>
        <w:sz w:val="20"/>
        <w:szCs w:val="20"/>
      </w:rPr>
      <w:fldChar w:fldCharType="separate"/>
    </w:r>
    <w:r w:rsidRPr="00161E50">
      <w:rPr>
        <w:rFonts w:ascii="Calibri" w:hAnsi="Calibri" w:cs="Calibri"/>
        <w:noProof/>
        <w:sz w:val="20"/>
        <w:szCs w:val="20"/>
      </w:rPr>
      <w:t>1</w:t>
    </w:r>
    <w:r w:rsidRPr="00161E50">
      <w:rPr>
        <w:rFonts w:ascii="Calibri" w:hAnsi="Calibri" w:cs="Calibri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3AC13" w14:textId="77777777" w:rsidR="00B27543" w:rsidRDefault="00B27543" w:rsidP="00161E50">
      <w:pPr>
        <w:spacing w:after="0"/>
      </w:pPr>
      <w:r>
        <w:separator/>
      </w:r>
    </w:p>
  </w:footnote>
  <w:footnote w:type="continuationSeparator" w:id="0">
    <w:p w14:paraId="4E445096" w14:textId="77777777" w:rsidR="00B27543" w:rsidRDefault="00B27543" w:rsidP="00161E5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B7E8E1EA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27B004F2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831632066">
    <w:abstractNumId w:val="0"/>
  </w:num>
  <w:num w:numId="2" w16cid:durableId="4117784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039"/>
    <w:rsid w:val="00097FE2"/>
    <w:rsid w:val="000E41E8"/>
    <w:rsid w:val="00161E50"/>
    <w:rsid w:val="00400972"/>
    <w:rsid w:val="005A1385"/>
    <w:rsid w:val="006B7277"/>
    <w:rsid w:val="009968C4"/>
    <w:rsid w:val="00A6555A"/>
    <w:rsid w:val="00AF681F"/>
    <w:rsid w:val="00B27543"/>
    <w:rsid w:val="00F95464"/>
    <w:rsid w:val="00FC5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526C349D"/>
  <w15:docId w15:val="{5B7DB39D-DF20-41C6-BFA4-86A77997F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Header">
    <w:name w:val="header"/>
    <w:basedOn w:val="Normal"/>
    <w:link w:val="HeaderChar"/>
    <w:rsid w:val="00161E50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161E50"/>
  </w:style>
  <w:style w:type="paragraph" w:styleId="Footer">
    <w:name w:val="footer"/>
    <w:basedOn w:val="Normal"/>
    <w:link w:val="FooterChar"/>
    <w:rsid w:val="00161E50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161E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270</Words>
  <Characters>1545</Characters>
  <Application>Microsoft Office Word</Application>
  <DocSecurity>4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Angela Irwin</dc:creator>
  <cp:keywords/>
  <cp:lastModifiedBy>Dawn R. Gillespie</cp:lastModifiedBy>
  <cp:revision>2</cp:revision>
  <dcterms:created xsi:type="dcterms:W3CDTF">2026-03-12T15:26:00Z</dcterms:created>
  <dcterms:modified xsi:type="dcterms:W3CDTF">2026-03-12T15:26:00Z</dcterms:modified>
</cp:coreProperties>
</file>